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2544445" cy="914400"/>
            <wp:effectExtent l="0" t="0" r="0" b="0"/>
            <wp:docPr id="1" name="Рисунок 1" descr="Главная ст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лавная страница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350" t="9082" r="40636" b="18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</w:t>
      </w:r>
      <w:r>
        <w:rPr/>
        <w:drawing>
          <wp:inline distT="0" distB="0" distL="0" distR="0">
            <wp:extent cx="2065020" cy="769620"/>
            <wp:effectExtent l="0" t="0" r="0" b="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120" w:after="120"/>
        <w:jc w:val="center"/>
        <w:rPr>
          <w:rFonts w:ascii="Arial" w:hAnsi="Arial" w:eastAsia="Times New Roman" w:cs="Arial"/>
          <w:b/>
          <w:b/>
          <w:color w:val="414141"/>
          <w:sz w:val="36"/>
          <w:szCs w:val="21"/>
        </w:rPr>
      </w:pPr>
      <w:r>
        <w:rPr>
          <w:rFonts w:eastAsia="Times New Roman" w:cs="Arial" w:ascii="Arial" w:hAnsi="Arial"/>
          <w:b/>
          <w:color w:val="414141"/>
          <w:sz w:val="36"/>
          <w:szCs w:val="21"/>
        </w:rPr>
        <w:t>Индивидуальный образовательный маршрут</w:t>
      </w:r>
    </w:p>
    <w:tbl>
      <w:tblPr>
        <w:tblW w:w="4900" w:type="pct"/>
        <w:jc w:val="left"/>
        <w:tblInd w:w="0" w:type="dxa"/>
        <w:tblCellMar>
          <w:top w:w="0" w:type="dxa"/>
          <w:left w:w="225" w:type="dxa"/>
          <w:bottom w:w="0" w:type="dxa"/>
          <w:right w:w="225" w:type="dxa"/>
        </w:tblCellMar>
        <w:tblLook w:firstRow="1" w:noVBand="1" w:lastRow="0" w:firstColumn="1" w:lastColumn="0" w:noHBand="0" w:val="04a0"/>
      </w:tblPr>
      <w:tblGrid>
        <w:gridCol w:w="2270"/>
        <w:gridCol w:w="2327"/>
        <w:gridCol w:w="4775"/>
        <w:gridCol w:w="2873"/>
        <w:gridCol w:w="3283"/>
      </w:tblGrid>
      <w:tr>
        <w:trPr/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Arial" w:hAnsi="Arial" w:eastAsia="Times New Roman" w:cs="Arial"/>
                <w:b/>
                <w:b/>
                <w:color w:val="414141"/>
                <w:sz w:val="24"/>
                <w:szCs w:val="21"/>
              </w:rPr>
            </w:pPr>
            <w:r>
              <w:rPr>
                <w:rFonts w:eastAsia="Times New Roman" w:cs="Arial" w:ascii="Arial" w:hAnsi="Arial"/>
                <w:b/>
                <w:color w:val="414141"/>
                <w:sz w:val="24"/>
                <w:szCs w:val="21"/>
              </w:rPr>
              <w:t>ФИО (полностью)</w:t>
            </w:r>
          </w:p>
        </w:tc>
        <w:tc>
          <w:tcPr>
            <w:tcW w:w="13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i/>
                <w:i/>
                <w:color w:val="414141"/>
                <w:sz w:val="24"/>
                <w:szCs w:val="21"/>
              </w:rPr>
            </w:pPr>
            <w:r>
              <w:rPr/>
            </w:r>
          </w:p>
        </w:tc>
      </w:tr>
      <w:tr>
        <w:trPr/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Arial" w:hAnsi="Arial" w:eastAsia="Times New Roman" w:cs="Arial"/>
                <w:b/>
                <w:b/>
                <w:color w:val="414141"/>
                <w:sz w:val="24"/>
                <w:szCs w:val="21"/>
              </w:rPr>
            </w:pPr>
            <w:r>
              <w:rPr>
                <w:rFonts w:eastAsia="Times New Roman" w:cs="Arial" w:ascii="Arial" w:hAnsi="Arial"/>
                <w:b/>
                <w:color w:val="414141"/>
                <w:sz w:val="24"/>
                <w:szCs w:val="21"/>
              </w:rPr>
              <w:t>Муниципалитет</w:t>
            </w:r>
          </w:p>
        </w:tc>
        <w:tc>
          <w:tcPr>
            <w:tcW w:w="13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414141"/>
                <w:sz w:val="24"/>
                <w:szCs w:val="21"/>
              </w:rPr>
            </w:pPr>
            <w:r>
              <w:rPr>
                <w:rFonts w:eastAsia="Times New Roman" w:cs="Arial" w:ascii="Arial" w:hAnsi="Arial"/>
                <w:i/>
                <w:color w:val="414141"/>
                <w:sz w:val="24"/>
                <w:szCs w:val="21"/>
              </w:rPr>
              <w:t>г. Красноярск</w:t>
            </w:r>
          </w:p>
        </w:tc>
      </w:tr>
      <w:tr>
        <w:trPr/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Arial" w:hAnsi="Arial" w:eastAsia="Times New Roman" w:cs="Arial"/>
                <w:b/>
                <w:b/>
                <w:color w:val="414141"/>
                <w:sz w:val="24"/>
                <w:szCs w:val="21"/>
              </w:rPr>
            </w:pPr>
            <w:r>
              <w:rPr>
                <w:rFonts w:eastAsia="Times New Roman" w:cs="Arial" w:ascii="Arial" w:hAnsi="Arial"/>
                <w:b/>
                <w:color w:val="414141"/>
                <w:sz w:val="24"/>
                <w:szCs w:val="21"/>
              </w:rPr>
              <w:t>Организация</w:t>
            </w:r>
          </w:p>
        </w:tc>
        <w:tc>
          <w:tcPr>
            <w:tcW w:w="13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i/>
                <w:color w:val="414141"/>
                <w:sz w:val="24"/>
                <w:szCs w:val="21"/>
              </w:rPr>
              <w:t>МБОУ С</w:t>
            </w:r>
            <w:r>
              <w:rPr>
                <w:rFonts w:eastAsia="Times New Roman" w:cs="Arial" w:ascii="Arial" w:hAnsi="Arial"/>
                <w:i/>
                <w:color w:val="414141"/>
                <w:sz w:val="24"/>
                <w:szCs w:val="21"/>
              </w:rPr>
              <w:t xml:space="preserve">Ш </w:t>
            </w:r>
            <w:r>
              <w:rPr>
                <w:rFonts w:eastAsia="Times New Roman" w:cs="Arial" w:ascii="Arial" w:hAnsi="Arial"/>
                <w:i/>
                <w:color w:val="414141"/>
                <w:sz w:val="24"/>
                <w:szCs w:val="21"/>
              </w:rPr>
              <w:t xml:space="preserve"> № 15</w:t>
            </w:r>
            <w:r>
              <w:rPr>
                <w:rFonts w:eastAsia="Times New Roman" w:cs="Arial" w:ascii="Arial" w:hAnsi="Arial"/>
                <w:i/>
                <w:color w:val="414141"/>
                <w:sz w:val="24"/>
                <w:szCs w:val="21"/>
              </w:rPr>
              <w:t>5</w:t>
            </w:r>
          </w:p>
        </w:tc>
      </w:tr>
      <w:tr>
        <w:trPr/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Arial" w:hAnsi="Arial" w:eastAsia="Times New Roman" w:cs="Arial"/>
                <w:b/>
                <w:b/>
                <w:color w:val="414141"/>
                <w:sz w:val="24"/>
                <w:szCs w:val="21"/>
              </w:rPr>
            </w:pPr>
            <w:r>
              <w:rPr>
                <w:rFonts w:eastAsia="Times New Roman" w:cs="Arial" w:ascii="Arial" w:hAnsi="Arial"/>
                <w:b/>
                <w:color w:val="414141"/>
                <w:sz w:val="24"/>
                <w:szCs w:val="21"/>
              </w:rPr>
              <w:t>Должность</w:t>
            </w:r>
          </w:p>
        </w:tc>
        <w:tc>
          <w:tcPr>
            <w:tcW w:w="13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414141"/>
                <w:sz w:val="24"/>
                <w:szCs w:val="21"/>
              </w:rPr>
            </w:pPr>
            <w:r>
              <w:rPr>
                <w:rFonts w:eastAsia="Times New Roman" w:cs="Arial" w:ascii="Arial" w:hAnsi="Arial"/>
                <w:i/>
                <w:color w:val="414141"/>
                <w:sz w:val="24"/>
                <w:szCs w:val="21"/>
              </w:rPr>
              <w:t>учитель</w:t>
            </w:r>
          </w:p>
        </w:tc>
      </w:tr>
      <w:tr>
        <w:trPr/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Arial" w:hAnsi="Arial" w:eastAsia="Times New Roman" w:cs="Arial"/>
                <w:b/>
                <w:b/>
                <w:color w:val="414141"/>
                <w:sz w:val="24"/>
                <w:szCs w:val="21"/>
              </w:rPr>
            </w:pPr>
            <w:r>
              <w:rPr>
                <w:rFonts w:eastAsia="Times New Roman" w:cs="Arial" w:ascii="Arial" w:hAnsi="Arial"/>
                <w:b/>
                <w:color w:val="414141"/>
                <w:sz w:val="24"/>
                <w:szCs w:val="21"/>
              </w:rPr>
              <w:t>Профессиональные дефициты / Задачи на предстоящий период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Arial" w:hAnsi="Arial" w:eastAsia="Times New Roman" w:cs="Arial"/>
                <w:b/>
                <w:b/>
                <w:color w:val="414141"/>
                <w:sz w:val="24"/>
                <w:szCs w:val="21"/>
              </w:rPr>
            </w:pPr>
            <w:r>
              <w:rPr>
                <w:rFonts w:eastAsia="Times New Roman" w:cs="Arial" w:ascii="Arial" w:hAnsi="Arial"/>
                <w:b/>
                <w:color w:val="414141"/>
                <w:sz w:val="24"/>
                <w:szCs w:val="21"/>
              </w:rPr>
              <w:t>Образовательные задачи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Arial" w:hAnsi="Arial" w:eastAsia="Times New Roman" w:cs="Arial"/>
                <w:b/>
                <w:b/>
                <w:color w:val="414141"/>
                <w:sz w:val="24"/>
                <w:szCs w:val="21"/>
              </w:rPr>
            </w:pPr>
            <w:r>
              <w:rPr>
                <w:rFonts w:eastAsia="Times New Roman" w:cs="Arial" w:ascii="Arial" w:hAnsi="Arial"/>
                <w:b/>
                <w:color w:val="414141"/>
                <w:sz w:val="24"/>
                <w:szCs w:val="21"/>
              </w:rPr>
              <w:t>Формы работы/ взаимодействия по реализации образовательных задач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color w:val="414141"/>
                <w:sz w:val="24"/>
                <w:szCs w:val="21"/>
              </w:rPr>
            </w:pPr>
            <w:r>
              <w:rPr>
                <w:rFonts w:eastAsia="Times New Roman" w:cs="Arial" w:ascii="Arial" w:hAnsi="Arial"/>
                <w:b/>
                <w:color w:val="414141"/>
                <w:sz w:val="24"/>
                <w:szCs w:val="21"/>
              </w:rPr>
              <w:t xml:space="preserve">Сроки реализации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color w:val="414141"/>
                <w:sz w:val="24"/>
                <w:szCs w:val="21"/>
              </w:rPr>
            </w:pPr>
            <w:r>
              <w:rPr>
                <w:rFonts w:eastAsia="Times New Roman" w:cs="Arial" w:ascii="Arial" w:hAnsi="Arial"/>
                <w:color w:val="414141"/>
                <w:sz w:val="18"/>
                <w:szCs w:val="21"/>
              </w:rPr>
              <w:t>(указать даты / месяц(ы), год)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Arial" w:hAnsi="Arial" w:eastAsia="Times New Roman" w:cs="Arial"/>
                <w:b/>
                <w:b/>
                <w:color w:val="414141"/>
                <w:sz w:val="24"/>
                <w:szCs w:val="21"/>
              </w:rPr>
            </w:pPr>
            <w:r>
              <w:rPr>
                <w:rFonts w:eastAsia="Times New Roman" w:cs="Arial" w:ascii="Arial" w:hAnsi="Arial"/>
                <w:b/>
                <w:color w:val="414141"/>
                <w:sz w:val="24"/>
                <w:szCs w:val="21"/>
              </w:rPr>
              <w:t>Форма предъявления результата</w:t>
            </w:r>
          </w:p>
        </w:tc>
      </w:tr>
      <w:tr>
        <w:trPr/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22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 недостаточном уровне владею приемами и технологиями формирования ЧГ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Задача: Научится работать с приемами и технологиями формирования ЧГ на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уроках и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внеурочных занятиях </w:t>
            </w:r>
          </w:p>
        </w:tc>
        <w:tc>
          <w:tcPr>
            <w:tcW w:w="2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1.Изучить современные методы, приемы и технологии Формирования ЧГ</w:t>
            </w:r>
          </w:p>
        </w:tc>
        <w:tc>
          <w:tcPr>
            <w:tcW w:w="4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Вебинар «Формирование читательской грамотности на внеурочных занятиях в начальной школе» </w:t>
            </w:r>
            <w:hyperlink r:id="rId4">
              <w:r>
                <w:rPr>
                  <w:rStyle w:val="ListLabel1"/>
                  <w:rFonts w:eastAsia="Times New Roman" w:cs="Times New Roman" w:ascii="Times New Roman" w:hAnsi="Times New Roman"/>
                  <w:sz w:val="28"/>
                  <w:szCs w:val="28"/>
                </w:rPr>
                <w:t>https://www.planeta-kniga.ru/</w:t>
              </w:r>
            </w:hyperlink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Март, 2022</w:t>
            </w:r>
          </w:p>
        </w:tc>
        <w:tc>
          <w:tcPr>
            <w:tcW w:w="32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Методические разработки оценочных процедур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Выступление на ШМО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виде конспектов и методических разработок</w:t>
            </w:r>
          </w:p>
        </w:tc>
      </w:tr>
      <w:tr>
        <w:trPr/>
        <w:tc>
          <w:tcPr>
            <w:tcW w:w="2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2.Задачи: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знакомиться с интернет – источниками по методам и приемам формирования ЧГ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-освоить современные методы, приемы и технологии Формирования ЧГ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.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-создать методическую копилку для ШМО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1. Орлова Э.А. Рекомендации по повышению уровня читательской компетенции в рамках Национальной программы поддержки и развития чтения. – М.: МЦБС, 2008 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2. Пособие Глинкиной Г.В. "Развитие у обучаемых читательской грамотности дидактическими средствами Способа диалектического обучения при изучении различных дисциплин"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Апрель, 2022</w:t>
            </w:r>
          </w:p>
        </w:tc>
        <w:tc>
          <w:tcPr>
            <w:tcW w:w="32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944" w:hRule="atLeast"/>
        </w:trPr>
        <w:tc>
          <w:tcPr>
            <w:tcW w:w="2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 Задачи: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181818"/>
                <w:spacing w:val="0"/>
                <w:sz w:val="28"/>
                <w:szCs w:val="28"/>
              </w:rPr>
              <w:t xml:space="preserve">- изучить современные российские и зарубежные материалы по вопросам развития читательской грамотности 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-п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181818"/>
                <w:spacing w:val="0"/>
                <w:sz w:val="28"/>
                <w:szCs w:val="28"/>
                <w:lang w:val="ru-RU"/>
              </w:rPr>
              <w:t>одробно изучить стилистические особенности текстов</w:t>
            </w:r>
          </w:p>
          <w:p>
            <w:pPr>
              <w:pStyle w:val="Style17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81818"/>
                <w:spacing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81818"/>
                <w:spacing w:val="0"/>
                <w:sz w:val="28"/>
                <w:szCs w:val="28"/>
                <w:lang w:val="ru-RU"/>
              </w:rPr>
              <w:t>-изучить особенности читательской компетентности.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1. Курс «Развитие у обучаемых читательской грамотности дидактическими средствами Способа диалектического обучения при изучении различных дисциплин». </w:t>
            </w:r>
            <w:hyperlink r:id="rId5">
              <w:r>
                <w:rPr>
                  <w:rStyle w:val="ListLabel2"/>
                  <w:rFonts w:cs="Times New Roman" w:ascii="Times New Roman" w:hAnsi="Times New Roman"/>
                  <w:sz w:val="28"/>
                  <w:szCs w:val="28"/>
                </w:rPr>
                <w:t>https://kipk.ru/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3.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181818"/>
                <w:spacing w:val="0"/>
                <w:sz w:val="28"/>
                <w:szCs w:val="28"/>
                <w:lang w:val="ru-RU"/>
              </w:rPr>
              <w:t>Статья В.Котельниковой «Как и зачем развивать у детей читательскую грамотность»</w:t>
            </w:r>
          </w:p>
          <w:p>
            <w:pPr>
              <w:pStyle w:val="Style17"/>
              <w:widowControl/>
              <w:spacing w:before="0" w:after="0"/>
              <w:ind w:left="0" w:right="0" w:hanging="0"/>
              <w:jc w:val="left"/>
              <w:rPr/>
            </w:pPr>
            <w:hyperlink r:id="rId6">
              <w:r>
                <w:rPr>
                  <w:rStyle w:val="ListLabel3"/>
                  <w:rFonts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sz w:val="28"/>
                  <w:szCs w:val="28"/>
                  <w:u w:val="none"/>
                  <w:effect w:val="none"/>
                  <w:lang w:val="ru-RU"/>
                </w:rPr>
                <w:t>https://mel.fm/blog/varvara-kotelnikova/85904-kak-i-zachem-razvivat-u-detey-chitatelskuyu-gramotnost</w:t>
              </w:r>
            </w:hyperlink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none"/>
                <w:lang w:val="ru-RU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Апрель – май, 2022</w:t>
            </w:r>
          </w:p>
        </w:tc>
        <w:tc>
          <w:tcPr>
            <w:tcW w:w="32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Autospacing="1" w:afterAutospacing="1"/>
        <w:rPr/>
      </w:pPr>
      <w:r>
        <w:rPr/>
      </w:r>
    </w:p>
    <w:sectPr>
      <w:type w:val="nextPage"/>
      <w:pgSz w:orient="landscape" w:w="16838" w:h="11906"/>
      <w:pgMar w:left="567" w:right="426" w:header="0" w:top="426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1"/>
    <w:uiPriority w:val="9"/>
    <w:qFormat/>
    <w:rsid w:val="00cc2869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5a34c9"/>
    <w:rPr>
      <w:b/>
      <w:bCs/>
    </w:rPr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cc2869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uiPriority w:val="9"/>
    <w:qFormat/>
    <w:rsid w:val="00cc2869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Style14">
    <w:name w:val="Интернет-ссылка"/>
    <w:basedOn w:val="DefaultParagraphFont"/>
    <w:uiPriority w:val="99"/>
    <w:unhideWhenUsed/>
    <w:rsid w:val="007c0a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164e0"/>
    <w:rPr>
      <w:color w:val="605E5C"/>
      <w:shd w:fill="E1DFDD" w:val="clear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eastAsia="Times New Roman" w:cs="Times New Roman"/>
      <w:sz w:val="28"/>
      <w:szCs w:val="28"/>
    </w:rPr>
  </w:style>
  <w:style w:type="character" w:styleId="ListLabel2">
    <w:name w:val="ListLabel 2"/>
    <w:qFormat/>
    <w:rPr>
      <w:rFonts w:ascii="Times New Roman" w:hAnsi="Times New Roman" w:cs="Times New Roman"/>
      <w:sz w:val="28"/>
      <w:szCs w:val="28"/>
    </w:rPr>
  </w:style>
  <w:style w:type="character" w:styleId="ListLabel3">
    <w:name w:val="ListLabel 3"/>
    <w:qFormat/>
    <w:rPr>
      <w:rFonts w:ascii="Times New Roman" w:hAnsi="Times New Roman"/>
      <w:b w:val="false"/>
      <w:bCs w:val="false"/>
      <w:i w:val="false"/>
      <w:caps w:val="false"/>
      <w:smallCaps w:val="false"/>
      <w:strike w:val="false"/>
      <w:dstrike w:val="false"/>
      <w:color w:val="000000"/>
      <w:spacing w:val="0"/>
      <w:sz w:val="28"/>
      <w:szCs w:val="28"/>
      <w:u w:val="none"/>
      <w:effect w:val="none"/>
      <w:lang w:val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5a34c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6529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cc286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s://www.planeta-kniga.ru/" TargetMode="External"/><Relationship Id="rId5" Type="http://schemas.openxmlformats.org/officeDocument/2006/relationships/hyperlink" Target="https://kipk.ru/" TargetMode="External"/><Relationship Id="rId6" Type="http://schemas.openxmlformats.org/officeDocument/2006/relationships/hyperlink" Target="https://mel.fm/blog/varvara-kotelnikova/85904-kak-i-zachem-razvivat-u-detey-chitatelskuyu-gramotnost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LibreOffice/6.2.5.2$Windows_X86_64 LibreOffice_project/1ec314fa52f458adc18c4f025c545a4e8b22c159</Application>
  <Pages>3</Pages>
  <Words>221</Words>
  <Characters>1713</Characters>
  <CharactersWithSpaces>1941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2022-03-14T13:51:00Z</dcterms:created>
  <dc:creator>МОСК</dc:creator>
  <dc:description/>
  <dc:language>ru-RU</dc:language>
  <cp:lastModifiedBy/>
  <dcterms:modified xsi:type="dcterms:W3CDTF">2022-04-12T11:33:32Z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