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физическая культура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5-9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лет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ООО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; </w:t>
      </w:r>
      <w:r>
        <w:rPr>
          <w:rFonts w:eastAsia="Times New Roman" w:ascii="Times New Roman" w:hAnsi="Times New Roman"/>
          <w:b w:val="false"/>
          <w:sz w:val="24"/>
          <w:szCs w:val="24"/>
          <w:lang w:eastAsia="ru-RU"/>
        </w:rPr>
        <w:t>(приказ МОН РФ от 17.12.2010 №1897) с учетом приказа МОН РФ от 29.12.2014 №1644, приказа МОН РФ от 31.12.2015 №1577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Авторская  программа по физической культуре 1-4 классы. Авторы-составители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</w:rPr>
        <w:t xml:space="preserve"> Е.Ю. Баклакова. – Чайковский: ЧГИФК 2003,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Д.И. Нестеровский. -М.: Издательский центр «Академия», 2010,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физическая культура» 5-9 классы, М.Я. Виленский, -М: Просвящение 2019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0" w:name="__DdeLink__22868_136360519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формирование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национально – культурных ценностей и традиций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обеспечение мотивации и потребности к занятиям физической культурой. </w:t>
      </w:r>
      <w:bookmarkEnd w:id="0"/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1)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2) создать условия по овладению учащимися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3) 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102 часа 5-8 класы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                       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99 часов 9 классы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культуры первой квалификационной категории Никаниров Антон Алексеевич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LibreOffice/6.2.5.2$Windows_X86_64 LibreOffice_project/1ec314fa52f458adc18c4f025c545a4e8b22c159</Application>
  <Pages>2</Pages>
  <Words>286</Words>
  <Characters>2062</Characters>
  <CharactersWithSpaces>2353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2019-10-30T14:39:33Z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