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литература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ФГОС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ООО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по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литературе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eastAsia="ru-RU"/>
        </w:rPr>
        <w:t>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2016 г. 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Учебник: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eastAsia="ru-RU"/>
        </w:rPr>
        <w:t>Ю.В. Лебедев. Русский язык и литература. Литература. 10 класс. Учебник для общеобразовательных организаций. Базовый уровень. В 2 частях. ФГОС М.: Просвещение, 2014.</w:t>
      </w:r>
    </w:p>
    <w:p>
      <w:pPr>
        <w:pStyle w:val="Normal"/>
        <w:spacing w:before="0" w:after="0"/>
        <w:ind w:firstLine="567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 xml:space="preserve">Цели: </w:t>
      </w:r>
      <w:bookmarkStart w:id="0" w:name="__DdeLink__22868_1363605195"/>
      <w:bookmarkEnd w:id="0"/>
    </w:p>
    <w:p>
      <w:pPr>
        <w:pStyle w:val="Normal"/>
        <w:widowControl/>
        <w:numPr>
          <w:ilvl w:val="0"/>
          <w:numId w:val="3"/>
        </w:numPr>
        <w:bidi w:val="0"/>
        <w:spacing w:lineRule="auto" w:line="276" w:before="0" w:after="0"/>
        <w:ind w:left="624" w:right="0" w:hanging="0"/>
        <w:jc w:val="left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</w:pP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76" w:before="0" w:after="0"/>
        <w:ind w:left="624" w:right="0" w:hanging="0"/>
        <w:jc w:val="left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highlight w:val="white"/>
          <w:u w:val="none"/>
          <w:effect w:val="none"/>
        </w:rPr>
      </w:pP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276" w:before="0" w:after="0"/>
        <w:ind w:left="624" w:right="0" w:hanging="0"/>
        <w:jc w:val="left"/>
        <w:rPr>
          <w:rFonts w:ascii="quot" w:hAnsi="quot"/>
          <w:color w:val="000000"/>
          <w:sz w:val="21"/>
        </w:rPr>
      </w:pPr>
      <w:r>
        <w:rPr>
          <w:rFonts w:cs="" w:ascii="Times New Roman" w:hAnsi="Times New Roman" w:cstheme="minorBid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Style17"/>
        <w:widowControl/>
        <w:numPr>
          <w:ilvl w:val="0"/>
          <w:numId w:val="3"/>
        </w:numPr>
        <w:bidi w:val="0"/>
        <w:spacing w:lineRule="auto" w:line="276" w:before="0" w:after="0"/>
        <w:ind w:left="624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ind w:left="1287" w:right="0" w:hanging="0"/>
        <w:jc w:val="lef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Style17"/>
        <w:widowControl/>
        <w:numPr>
          <w:ilvl w:val="0"/>
          <w:numId w:val="4"/>
        </w:numPr>
        <w:shd w:val="clear" w:color="auto" w:fill="FFFFFF"/>
        <w:bidi w:val="0"/>
        <w:spacing w:lineRule="auto" w:line="276" w:before="0" w:after="0"/>
        <w:ind w:left="56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представление о художественной литературе как искусстве  слова и ее месте в культуре страны и народа;</w:t>
      </w:r>
    </w:p>
    <w:p>
      <w:pPr>
        <w:pStyle w:val="Style17"/>
        <w:numPr>
          <w:ilvl w:val="0"/>
          <w:numId w:val="4"/>
        </w:numPr>
        <w:shd w:val="clear" w:color="auto" w:fill="FFFFFF"/>
        <w:spacing w:before="0" w:after="0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сознать своеобразие и богатство литературы как искусства;</w:t>
      </w:r>
    </w:p>
    <w:p>
      <w:pPr>
        <w:pStyle w:val="Style17"/>
        <w:widowControl/>
        <w:numPr>
          <w:ilvl w:val="0"/>
          <w:numId w:val="4"/>
        </w:numPr>
        <w:shd w:val="clear" w:color="auto" w:fill="FFFFFF"/>
        <w:bidi w:val="0"/>
        <w:spacing w:lineRule="auto" w:line="276" w:before="0" w:after="0"/>
        <w:ind w:left="624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освоить теоретические понятия, которые способствуют более глубокому   постижению конкретных художественных произведений;</w:t>
      </w:r>
    </w:p>
    <w:p>
      <w:pPr>
        <w:pStyle w:val="Style17"/>
        <w:widowControl/>
        <w:numPr>
          <w:ilvl w:val="0"/>
          <w:numId w:val="4"/>
        </w:numPr>
        <w:shd w:val="clear" w:color="auto" w:fill="FFFFFF"/>
        <w:bidi w:val="0"/>
        <w:spacing w:lineRule="auto" w:line="276" w:before="0" w:after="0"/>
        <w:ind w:left="624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>
      <w:pPr>
        <w:pStyle w:val="Style17"/>
        <w:numPr>
          <w:ilvl w:val="0"/>
          <w:numId w:val="4"/>
        </w:numPr>
        <w:shd w:val="clear" w:color="auto" w:fill="FFFFFF"/>
        <w:spacing w:before="0" w:after="0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воспитать культуру чтения, сформировать потребность в чтении;</w:t>
      </w:r>
    </w:p>
    <w:p>
      <w:pPr>
        <w:pStyle w:val="Style17"/>
        <w:widowControl/>
        <w:numPr>
          <w:ilvl w:val="0"/>
          <w:numId w:val="4"/>
        </w:numPr>
        <w:shd w:val="clear" w:color="auto" w:fill="FFFFFF"/>
        <w:bidi w:val="0"/>
        <w:spacing w:lineRule="auto" w:line="276" w:before="0" w:after="0"/>
        <w:ind w:left="567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>
      <w:pPr>
        <w:pStyle w:val="Style17"/>
        <w:widowControl/>
        <w:numPr>
          <w:ilvl w:val="0"/>
          <w:numId w:val="0"/>
        </w:numPr>
        <w:shd w:val="clear" w:color="auto" w:fill="FFFFFF"/>
        <w:bidi w:val="0"/>
        <w:spacing w:lineRule="auto" w:line="276" w:before="0" w:after="0"/>
        <w:ind w:left="1344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102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0"/>
        <w:gridCol w:w="4885"/>
        <w:gridCol w:w="2098"/>
      </w:tblGrid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8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Становление и развитие реализма в русской литературе 19 века.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09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,Bold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Русская литературная критика второй половины 19 века.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eastAsia="ru-RU" w:bidi="en-US"/>
              </w:rPr>
              <w:t xml:space="preserve">Иван Сергеевич Тургенев 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76" w:beforeAutospacing="1" w:after="0"/>
              <w:rPr>
                <w:rFonts w:ascii="Times New Roman" w:hAnsi="Times New Roman" w:eastAsia="Times New Roman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«Отцы и дети»в русской критике.</w:t>
            </w:r>
            <w:r>
              <w:rPr>
                <w:rFonts w:eastAsia="Times New Roman" w:ascii="Times New Roman" w:hAnsi="Times New Roman"/>
                <w:b/>
                <w:i w:val="false"/>
                <w:iCs w:val="false"/>
                <w:sz w:val="24"/>
                <w:szCs w:val="24"/>
                <w:lang w:eastAsia="ru-RU"/>
              </w:rPr>
              <w:t xml:space="preserve"> 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76" w:beforeAutospacing="1" w:after="0"/>
              <w:rPr>
                <w:rFonts w:ascii="Times New Roman" w:hAnsi="Times New Roman" w:eastAsia="Times New Roman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 w:val="false"/>
                <w:iCs w:val="false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Сочинение  по роману «Отцы и дети».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en-US" w:eastAsia="ru-RU" w:bidi="en-US"/>
              </w:rPr>
              <w:t xml:space="preserve">Николай Гаврилович Чернышевский. 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iCs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Cs/>
                <w:sz w:val="24"/>
                <w:szCs w:val="24"/>
                <w:lang w:val="en-US" w:bidi="en-US"/>
              </w:rPr>
              <w:t>Иван Александрович Гончаров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val="ru-RU" w:bidi="en-US"/>
              </w:rPr>
              <w:t>Роман «Обломов» в русской критике.</w:t>
            </w:r>
            <w:r>
              <w:rPr>
                <w:rFonts w:eastAsia="" w:cs="Times New Roman" w:ascii="Times New Roman" w:hAnsi="Times New Roman" w:eastAsiaTheme="minorEastAsia"/>
                <w:b/>
                <w:bCs w:val="false"/>
                <w:i w:val="false"/>
                <w:iCs w:val="false"/>
                <w:sz w:val="24"/>
                <w:szCs w:val="24"/>
                <w:lang w:val="ru-RU" w:bidi="en-US"/>
              </w:rPr>
              <w:t xml:space="preserve"> 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 w:val="false"/>
                <w:i w:val="false"/>
                <w:iCs w:val="false"/>
                <w:sz w:val="24"/>
                <w:szCs w:val="24"/>
                <w:lang w:val="ru-RU" w:bidi="en-US"/>
              </w:rPr>
              <w:t xml:space="preserve">Р.р.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val="ru-RU" w:bidi="en-US"/>
              </w:rPr>
              <w:t>Сочинение по роману И.А. Гончарова «Обломов»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eastAsia="ru-RU" w:bidi="en-US"/>
              </w:rPr>
              <w:t>Александр Николаевич Островский</w:t>
            </w:r>
          </w:p>
        </w:tc>
        <w:tc>
          <w:tcPr>
            <w:tcW w:w="488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76" w:beforeAutospacing="1" w:after="0"/>
              <w:rPr>
                <w:rFonts w:ascii="Times New Roman" w:hAnsi="Times New Roman" w:eastAsia="Times New Roman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О народных истоках характера Катерины. Катерина как трагический характер. </w:t>
            </w:r>
            <w:r>
              <w:rPr>
                <w:rFonts w:eastAsia="Times New Roman" w:ascii="Times New Roman" w:hAnsi="Times New Roman"/>
                <w:b/>
                <w:i w:val="false"/>
                <w:iCs w:val="false"/>
                <w:sz w:val="24"/>
                <w:szCs w:val="24"/>
                <w:lang w:eastAsia="ru-RU"/>
              </w:rPr>
              <w:t>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76" w:beforeAutospacing="1" w:after="0"/>
              <w:rPr>
                <w:rFonts w:ascii="Times New Roman" w:hAnsi="Times New Roman" w:eastAsia="Times New Roman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i w:val="false"/>
                <w:iCs w:val="false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Сочинение  по пьесе «Гроза»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Федор Иванович Тютчев.</w:t>
            </w:r>
          </w:p>
        </w:tc>
        <w:tc>
          <w:tcPr>
            <w:tcW w:w="488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i w:val="false"/>
                <w:i w:val="false"/>
                <w:i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 w:val="false"/>
                <w:iCs w:val="false"/>
                <w:sz w:val="24"/>
                <w:szCs w:val="24"/>
                <w:lang w:val="ru-RU" w:bidi="en-US"/>
              </w:rPr>
              <w:t xml:space="preserve">Р.р. </w:t>
            </w:r>
            <w:r>
              <w:rPr>
                <w:rFonts w:eastAsia="" w:cs="Times New Roman" w:ascii="Times New Roman" w:hAnsi="Times New Roman" w:eastAsiaTheme="minorEastAsia"/>
                <w:i w:val="false"/>
                <w:iCs w:val="false"/>
                <w:sz w:val="24"/>
                <w:szCs w:val="24"/>
                <w:lang w:val="ru-RU" w:bidi="en-US"/>
              </w:rPr>
              <w:t xml:space="preserve">Письменный анализ стихотворения Ф.И.Тютчева. 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Николай Алексеевич Некрасов.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Поэма «Кому на Руси жить хорошо»в контексте творчества Некрасова. 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Сочинение по поэме «Кому на Руси жить хорошо?»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Афанасий Афанасьевич Фет.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Контрольный анализ стихотворения А.А.Фета.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Алексей Константинович Толстой.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i w:val="false"/>
                <w:i w:val="false"/>
                <w:i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i w:val="false"/>
                <w:iCs w:val="false"/>
                <w:sz w:val="24"/>
                <w:szCs w:val="24"/>
                <w:lang w:val="en-US" w:bidi="en-US"/>
              </w:rPr>
              <w:t>Р.р.</w:t>
            </w:r>
            <w:r>
              <w:rPr>
                <w:rFonts w:eastAsia="" w:cs="Times New Roman" w:ascii="Times New Roman" w:hAnsi="Times New Roman" w:eastAsiaTheme="minorEastAsia"/>
                <w:bCs/>
                <w:i w:val="false"/>
                <w:iCs w:val="false"/>
                <w:sz w:val="24"/>
                <w:szCs w:val="24"/>
                <w:lang w:val="en-US" w:bidi="en-US"/>
              </w:rPr>
              <w:t xml:space="preserve"> Анализ стихотворения А.К.Толстого.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Михаил Евграфович Салтыков-Щедрин.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en-US" w:bidi="en-US"/>
              </w:rPr>
              <w:t>Р.р.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bidi="en-US"/>
              </w:rPr>
              <w:t xml:space="preserve"> Сочинение-отзыв для молодежной газеты. 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 xml:space="preserve">Страницы истории западноевропейского романа 19 века. 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ru-RU" w:bidi="en-US"/>
              </w:rPr>
              <w:t>Текущий контроль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 xml:space="preserve">Федор Михайлович Достоевский.  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«Преступление и наказание»в русской критике 1860-х годов.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Сочинение по роману Ф.М. Достоевского «Пре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тупление и наказание»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Лев Николаевич Толстой  12 ч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Анализ эпизода «Лунная ночь в Отрадном».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«Война и мир» в русской критике и киноискусстве.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Р.р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Сочинение  по роману Л.Н. Толстого «Война и мир»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 xml:space="preserve">Николай Семенович Лесков 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Сочинение-анализ характера героя по повести Н.Лескова «Очарованный странник».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 xml:space="preserve">Страницы зарубежной литературы конец 19 – начало 20 вв. 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 xml:space="preserve">Антон Павлович Чехов. 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Общая характеристика «новой драмы». Исторические истоки «новой драмы».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Тест. </w:t>
            </w:r>
          </w:p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Сочинение по пьесе А.П.Чехова «Вишневый сад»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24"/>
                <w:szCs w:val="24"/>
                <w:lang w:val="ru-RU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val="ru-RU" w:bidi="en-US"/>
              </w:rPr>
              <w:t>Мировое значение русской литературы.</w:t>
            </w:r>
          </w:p>
        </w:tc>
        <w:tc>
          <w:tcPr>
            <w:tcW w:w="4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iCs w:val="false"/>
                <w:sz w:val="24"/>
                <w:szCs w:val="24"/>
                <w:lang w:val="en-US" w:bidi="en-US"/>
              </w:rPr>
              <w:t>Контрольный тест по курсу литературы 10 класса</w:t>
            </w:r>
          </w:p>
        </w:tc>
        <w:tc>
          <w:tcPr>
            <w:tcW w:w="209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русского языка и литературы Антонова Ольга Егоровна.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PT Sans">
    <w:altName w:val="sans-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quo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1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ascii="PT Sans;sans-serif" w:hAnsi="PT Sans;sans-serif" w:cs="Symbol"/>
      <w:b w:val="false"/>
      <w:sz w:val="21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 w:val="false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OpenSymbol"/>
      <w:b w:val="false"/>
      <w:sz w:val="24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LibreOffice/6.2.5.2$Windows_X86_64 LibreOffice_project/1ec314fa52f458adc18c4f025c545a4e8b22c159</Application>
  <Pages>3</Pages>
  <Words>559</Words>
  <Characters>3981</Characters>
  <CharactersWithSpaces>4481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2019-10-30T12:48:54Z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